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ABD" w:rsidRPr="002341F3" w:rsidRDefault="002341F3" w:rsidP="006252D1">
      <w:pPr>
        <w:spacing w:after="0" w:line="240" w:lineRule="auto"/>
        <w:rPr>
          <w:rFonts w:ascii="Calibri" w:eastAsia="PMingLiU" w:hAnsi="Calibri"/>
        </w:rPr>
      </w:pPr>
      <w:bookmarkStart w:id="0" w:name="_GoBack"/>
    </w:p>
    <w:p w:rsidR="006252D1" w:rsidRPr="002341F3" w:rsidRDefault="006252D1" w:rsidP="006252D1">
      <w:pPr>
        <w:spacing w:after="0" w:line="240" w:lineRule="auto"/>
        <w:rPr>
          <w:rFonts w:ascii="Calibri" w:eastAsia="PMingLiU" w:hAnsi="Calibri"/>
        </w:rPr>
      </w:pPr>
    </w:p>
    <w:p w:rsidR="006252D1" w:rsidRPr="002341F3" w:rsidRDefault="006252D1" w:rsidP="006252D1">
      <w:pPr>
        <w:spacing w:after="0" w:line="240" w:lineRule="auto"/>
        <w:rPr>
          <w:rFonts w:ascii="Calibri" w:eastAsia="PMingLiU" w:hAnsi="Calibri"/>
          <w:sz w:val="32"/>
          <w:szCs w:val="32"/>
        </w:rPr>
      </w:pPr>
      <w:r w:rsidRPr="002341F3">
        <w:rPr>
          <w:rFonts w:ascii="Calibri" w:eastAsia="PMingLiU" w:hAnsi="Calibri" w:hint="eastAsia"/>
          <w:sz w:val="32"/>
          <w:szCs w:val="32"/>
        </w:rPr>
        <w:t>百萬圓桌提交範例</w:t>
      </w:r>
    </w:p>
    <w:p w:rsidR="006252D1" w:rsidRPr="002341F3" w:rsidRDefault="006252D1" w:rsidP="006252D1">
      <w:pPr>
        <w:spacing w:after="0" w:line="240" w:lineRule="auto"/>
        <w:rPr>
          <w:rFonts w:ascii="Calibri" w:eastAsia="PMingLiU" w:hAnsi="Calibri"/>
          <w:i/>
          <w:color w:val="808080" w:themeColor="background1" w:themeShade="80"/>
        </w:rPr>
      </w:pPr>
      <w:r w:rsidRPr="002341F3">
        <w:rPr>
          <w:rFonts w:ascii="Calibri" w:eastAsia="PMingLiU" w:hAnsi="Calibri" w:hint="eastAsia"/>
          <w:i/>
          <w:color w:val="808080" w:themeColor="background1" w:themeShade="80"/>
        </w:rPr>
        <w:t>（於</w:t>
      </w:r>
      <w:r w:rsidRPr="002341F3">
        <w:rPr>
          <w:rFonts w:ascii="Calibri" w:eastAsia="PMingLiU" w:hAnsi="Calibri" w:hint="eastAsia"/>
          <w:i/>
          <w:color w:val="808080" w:themeColor="background1" w:themeShade="80"/>
        </w:rPr>
        <w:t xml:space="preserve"> 2019 </w:t>
      </w:r>
      <w:r w:rsidRPr="002341F3">
        <w:rPr>
          <w:rFonts w:ascii="Calibri" w:eastAsia="PMingLiU" w:hAnsi="Calibri" w:hint="eastAsia"/>
          <w:i/>
          <w:color w:val="808080" w:themeColor="background1" w:themeShade="80"/>
        </w:rPr>
        <w:t>百萬圓桌年會提交的範例）</w:t>
      </w:r>
    </w:p>
    <w:p w:rsidR="006252D1" w:rsidRPr="002341F3" w:rsidRDefault="006252D1" w:rsidP="006252D1">
      <w:pPr>
        <w:spacing w:after="0" w:line="240" w:lineRule="auto"/>
        <w:rPr>
          <w:rFonts w:ascii="Calibri" w:eastAsia="PMingLiU" w:hAnsi="Calibri"/>
          <w:b/>
          <w:color w:val="0000FF"/>
        </w:rPr>
      </w:pPr>
    </w:p>
    <w:p w:rsidR="006252D1" w:rsidRPr="002341F3" w:rsidRDefault="006252D1" w:rsidP="006252D1">
      <w:pPr>
        <w:spacing w:after="0" w:line="240" w:lineRule="auto"/>
        <w:rPr>
          <w:rFonts w:ascii="Calibri" w:eastAsia="PMingLiU" w:hAnsi="Calibri"/>
          <w:b/>
          <w:color w:val="0000FF"/>
        </w:rPr>
      </w:pPr>
      <w:r w:rsidRPr="002341F3">
        <w:rPr>
          <w:rFonts w:ascii="Calibri" w:eastAsia="PMingLiU" w:hAnsi="Calibri" w:hint="eastAsia"/>
          <w:b/>
          <w:color w:val="0000FF"/>
        </w:rPr>
        <w:t>主題和說明</w:t>
      </w:r>
    </w:p>
    <w:p w:rsidR="006252D1" w:rsidRPr="002341F3" w:rsidRDefault="006252D1" w:rsidP="006252D1">
      <w:pPr>
        <w:spacing w:after="0" w:line="240" w:lineRule="auto"/>
        <w:rPr>
          <w:rFonts w:ascii="Calibri" w:eastAsia="PMingLiU" w:hAnsi="Calibri"/>
        </w:rPr>
      </w:pPr>
    </w:p>
    <w:p w:rsidR="006252D1" w:rsidRPr="002341F3" w:rsidRDefault="006252D1" w:rsidP="006252D1">
      <w:pPr>
        <w:spacing w:after="0" w:line="240" w:lineRule="auto"/>
        <w:rPr>
          <w:rFonts w:ascii="Calibri" w:eastAsia="PMingLiU" w:hAnsi="Calibri"/>
        </w:rPr>
      </w:pPr>
      <w:r w:rsidRPr="002341F3">
        <w:rPr>
          <w:rFonts w:ascii="Calibri" w:eastAsia="PMingLiU" w:hAnsi="Calibri" w:hint="eastAsia"/>
          <w:u w:val="single"/>
        </w:rPr>
        <w:t>百萬圓桌發佈指引</w:t>
      </w:r>
      <w:r w:rsidRPr="002341F3">
        <w:rPr>
          <w:rFonts w:ascii="Calibri" w:eastAsia="PMingLiU" w:hAnsi="Calibri" w:hint="eastAsia"/>
          <w:u w:val="single"/>
        </w:rPr>
        <w:br/>
      </w:r>
      <w:r w:rsidRPr="002341F3">
        <w:rPr>
          <w:rFonts w:ascii="Calibri" w:eastAsia="PMingLiU" w:hAnsi="Calibri" w:hint="eastAsia"/>
        </w:rPr>
        <w:t>標題</w:t>
      </w:r>
      <w:r w:rsidRPr="002341F3">
        <w:rPr>
          <w:rFonts w:ascii="Calibri" w:eastAsia="PMingLiU" w:hAnsi="Calibri" w:hint="eastAsia"/>
        </w:rPr>
        <w:tab/>
      </w:r>
      <w:r w:rsidRPr="002341F3">
        <w:rPr>
          <w:rFonts w:ascii="Calibri" w:eastAsia="PMingLiU" w:hAnsi="Calibri" w:hint="eastAsia"/>
        </w:rPr>
        <w:tab/>
        <w:t xml:space="preserve">8 </w:t>
      </w:r>
      <w:r w:rsidRPr="002341F3">
        <w:rPr>
          <w:rFonts w:ascii="Calibri" w:eastAsia="PMingLiU" w:hAnsi="Calibri" w:hint="eastAsia"/>
        </w:rPr>
        <w:t>至</w:t>
      </w:r>
      <w:r w:rsidRPr="002341F3">
        <w:rPr>
          <w:rFonts w:ascii="Calibri" w:eastAsia="PMingLiU" w:hAnsi="Calibri" w:hint="eastAsia"/>
        </w:rPr>
        <w:t xml:space="preserve"> 10 </w:t>
      </w:r>
      <w:r w:rsidRPr="002341F3">
        <w:rPr>
          <w:rFonts w:ascii="Calibri" w:eastAsia="PMingLiU" w:hAnsi="Calibri" w:hint="eastAsia"/>
        </w:rPr>
        <w:t>字</w:t>
      </w:r>
    </w:p>
    <w:p w:rsidR="006252D1" w:rsidRPr="002341F3" w:rsidRDefault="006252D1" w:rsidP="006252D1">
      <w:pPr>
        <w:spacing w:after="0" w:line="240" w:lineRule="auto"/>
        <w:rPr>
          <w:rFonts w:ascii="Calibri" w:eastAsia="PMingLiU" w:hAnsi="Calibri"/>
        </w:rPr>
      </w:pPr>
      <w:r w:rsidRPr="002341F3">
        <w:rPr>
          <w:rFonts w:ascii="Calibri" w:eastAsia="PMingLiU" w:hAnsi="Calibri" w:hint="eastAsia"/>
        </w:rPr>
        <w:t>說明</w:t>
      </w:r>
      <w:r w:rsidRPr="002341F3">
        <w:rPr>
          <w:rFonts w:ascii="Calibri" w:eastAsia="PMingLiU" w:hAnsi="Calibri" w:hint="eastAsia"/>
        </w:rPr>
        <w:tab/>
        <w:t xml:space="preserve">80 </w:t>
      </w:r>
      <w:r w:rsidRPr="002341F3">
        <w:rPr>
          <w:rFonts w:ascii="Calibri" w:eastAsia="PMingLiU" w:hAnsi="Calibri" w:hint="eastAsia"/>
        </w:rPr>
        <w:t>至</w:t>
      </w:r>
      <w:r w:rsidRPr="002341F3">
        <w:rPr>
          <w:rFonts w:ascii="Calibri" w:eastAsia="PMingLiU" w:hAnsi="Calibri" w:hint="eastAsia"/>
        </w:rPr>
        <w:t xml:space="preserve"> 100 </w:t>
      </w:r>
      <w:r w:rsidRPr="002341F3">
        <w:rPr>
          <w:rFonts w:ascii="Calibri" w:eastAsia="PMingLiU" w:hAnsi="Calibri" w:hint="eastAsia"/>
        </w:rPr>
        <w:t>字</w:t>
      </w:r>
    </w:p>
    <w:p w:rsidR="006252D1" w:rsidRPr="002341F3" w:rsidRDefault="006252D1" w:rsidP="006252D1">
      <w:pPr>
        <w:spacing w:after="0" w:line="240" w:lineRule="auto"/>
        <w:rPr>
          <w:rFonts w:ascii="Calibri" w:eastAsia="PMingLiU" w:hAnsi="Calibri"/>
        </w:rPr>
      </w:pPr>
    </w:p>
    <w:p w:rsidR="006252D1" w:rsidRPr="002341F3" w:rsidRDefault="006252D1" w:rsidP="006252D1">
      <w:pPr>
        <w:spacing w:after="0" w:line="240" w:lineRule="auto"/>
        <w:rPr>
          <w:rFonts w:ascii="Calibri" w:eastAsia="PMingLiU" w:hAnsi="Calibri"/>
        </w:rPr>
      </w:pPr>
      <w:r w:rsidRPr="002341F3">
        <w:rPr>
          <w:rFonts w:ascii="Calibri" w:eastAsia="PMingLiU" w:hAnsi="Calibri" w:hint="eastAsia"/>
        </w:rPr>
        <w:t>百萬圓桌保留根據文法及風格指引以審查及編輯所有標題和說明的權利。</w:t>
      </w:r>
      <w:r w:rsidRPr="002341F3">
        <w:rPr>
          <w:rFonts w:ascii="Calibri" w:eastAsia="PMingLiU" w:hAnsi="Calibri" w:hint="eastAsia"/>
        </w:rPr>
        <w:t xml:space="preserve">  </w:t>
      </w:r>
      <w:r w:rsidRPr="002341F3">
        <w:rPr>
          <w:rFonts w:ascii="Calibri" w:eastAsia="PMingLiU" w:hAnsi="Calibri" w:hint="eastAsia"/>
        </w:rPr>
        <w:t>姓氏僅在說明中引用講者時才會顯示。</w:t>
      </w:r>
      <w:r w:rsidRPr="002341F3">
        <w:rPr>
          <w:rFonts w:ascii="Calibri" w:eastAsia="PMingLiU" w:hAnsi="Calibri" w:hint="eastAsia"/>
        </w:rPr>
        <w:t xml:space="preserve">  </w:t>
      </w:r>
    </w:p>
    <w:p w:rsidR="006252D1" w:rsidRPr="002341F3" w:rsidRDefault="006252D1" w:rsidP="006252D1">
      <w:pPr>
        <w:spacing w:after="0" w:line="240" w:lineRule="auto"/>
        <w:rPr>
          <w:rFonts w:ascii="Calibri" w:eastAsia="PMingLiU" w:hAnsi="Calibri"/>
          <w:b/>
        </w:rPr>
      </w:pPr>
      <w:r w:rsidRPr="002341F3">
        <w:rPr>
          <w:rFonts w:ascii="Calibri" w:eastAsia="PMingLiU" w:hAnsi="Calibri" w:hint="eastAsia"/>
          <w:b/>
        </w:rPr>
        <w:t>……………………………………………………………………………………</w:t>
      </w:r>
      <w:r w:rsidRPr="002341F3">
        <w:rPr>
          <w:rFonts w:ascii="Calibri" w:eastAsia="PMingLiU" w:hAnsi="Calibri" w:hint="eastAsia"/>
          <w:b/>
        </w:rPr>
        <w:t>.</w:t>
      </w:r>
    </w:p>
    <w:p w:rsidR="006252D1" w:rsidRPr="002341F3" w:rsidRDefault="006252D1" w:rsidP="006252D1">
      <w:pPr>
        <w:spacing w:after="0" w:line="240" w:lineRule="auto"/>
        <w:rPr>
          <w:rFonts w:ascii="Calibri" w:eastAsia="PMingLiU" w:hAnsi="Calibri"/>
        </w:rPr>
      </w:pPr>
    </w:p>
    <w:p w:rsidR="006252D1" w:rsidRPr="002341F3" w:rsidRDefault="006252D1" w:rsidP="006252D1">
      <w:pPr>
        <w:spacing w:after="0" w:line="240" w:lineRule="auto"/>
        <w:rPr>
          <w:rFonts w:ascii="Calibri" w:eastAsia="PMingLiU" w:hAnsi="Calibri"/>
          <w:b/>
        </w:rPr>
      </w:pPr>
      <w:r w:rsidRPr="002341F3">
        <w:rPr>
          <w:rFonts w:ascii="Calibri" w:eastAsia="PMingLiU" w:hAnsi="Calibri" w:hint="eastAsia"/>
          <w:b/>
        </w:rPr>
        <w:t xml:space="preserve">John C. </w:t>
      </w:r>
      <w:proofErr w:type="spellStart"/>
      <w:r w:rsidRPr="002341F3">
        <w:rPr>
          <w:rFonts w:ascii="Calibri" w:eastAsia="PMingLiU" w:hAnsi="Calibri" w:hint="eastAsia"/>
          <w:b/>
        </w:rPr>
        <w:t>Moshides</w:t>
      </w:r>
      <w:proofErr w:type="spellEnd"/>
      <w:r w:rsidRPr="002341F3">
        <w:rPr>
          <w:rFonts w:ascii="Calibri" w:eastAsia="PMingLiU" w:hAnsi="Calibri" w:hint="eastAsia"/>
          <w:b/>
        </w:rPr>
        <w:t>，</w:t>
      </w:r>
      <w:r w:rsidRPr="002341F3">
        <w:rPr>
          <w:rFonts w:ascii="Calibri" w:eastAsia="PMingLiU" w:hAnsi="Calibri" w:hint="eastAsia"/>
          <w:b/>
        </w:rPr>
        <w:t>CLU</w:t>
      </w:r>
      <w:r w:rsidRPr="002341F3">
        <w:rPr>
          <w:rFonts w:ascii="Calibri" w:eastAsia="PMingLiU" w:hAnsi="Calibri" w:hint="eastAsia"/>
          <w:b/>
        </w:rPr>
        <w:t>、</w:t>
      </w:r>
      <w:proofErr w:type="spellStart"/>
      <w:r w:rsidRPr="002341F3">
        <w:rPr>
          <w:rFonts w:ascii="Calibri" w:eastAsia="PMingLiU" w:hAnsi="Calibri" w:hint="eastAsia"/>
          <w:b/>
        </w:rPr>
        <w:t>ChFC</w:t>
      </w:r>
      <w:proofErr w:type="spellEnd"/>
    </w:p>
    <w:p w:rsidR="006252D1" w:rsidRPr="002341F3" w:rsidRDefault="006252D1" w:rsidP="006252D1">
      <w:pPr>
        <w:spacing w:after="0" w:line="240" w:lineRule="auto"/>
        <w:rPr>
          <w:rFonts w:ascii="Calibri" w:eastAsia="PMingLiU" w:hAnsi="Calibri"/>
          <w:u w:val="single"/>
        </w:rPr>
      </w:pPr>
      <w:r w:rsidRPr="002341F3">
        <w:rPr>
          <w:rFonts w:ascii="Calibri" w:eastAsia="PMingLiU" w:hAnsi="Calibri" w:hint="eastAsia"/>
          <w:u w:val="single"/>
        </w:rPr>
        <w:t>標題</w:t>
      </w:r>
    </w:p>
    <w:p w:rsidR="006252D1" w:rsidRPr="002341F3" w:rsidRDefault="006252D1" w:rsidP="006252D1">
      <w:pPr>
        <w:spacing w:after="0" w:line="240" w:lineRule="auto"/>
        <w:rPr>
          <w:rFonts w:ascii="Calibri" w:eastAsia="PMingLiU" w:hAnsi="Calibri"/>
        </w:rPr>
      </w:pPr>
      <w:r w:rsidRPr="002341F3">
        <w:rPr>
          <w:rFonts w:ascii="Calibri" w:eastAsia="PMingLiU" w:hAnsi="Calibri" w:hint="eastAsia"/>
        </w:rPr>
        <w:t>永不止步的關鍵</w:t>
      </w:r>
    </w:p>
    <w:p w:rsidR="006252D1" w:rsidRPr="002341F3" w:rsidRDefault="006252D1" w:rsidP="006252D1">
      <w:pPr>
        <w:spacing w:after="0" w:line="240" w:lineRule="auto"/>
        <w:rPr>
          <w:rFonts w:ascii="Calibri" w:eastAsia="PMingLiU" w:hAnsi="Calibri"/>
        </w:rPr>
      </w:pPr>
    </w:p>
    <w:p w:rsidR="006252D1" w:rsidRPr="002341F3" w:rsidRDefault="006252D1" w:rsidP="006252D1">
      <w:pPr>
        <w:spacing w:after="0" w:line="240" w:lineRule="auto"/>
        <w:rPr>
          <w:rFonts w:ascii="Calibri" w:eastAsia="PMingLiU" w:hAnsi="Calibri"/>
          <w:u w:val="single"/>
        </w:rPr>
      </w:pPr>
      <w:r w:rsidRPr="002341F3">
        <w:rPr>
          <w:rFonts w:ascii="Calibri" w:eastAsia="PMingLiU" w:hAnsi="Calibri" w:hint="eastAsia"/>
          <w:u w:val="single"/>
        </w:rPr>
        <w:t>簡介</w:t>
      </w:r>
    </w:p>
    <w:p w:rsidR="006252D1" w:rsidRPr="002341F3" w:rsidRDefault="006252D1" w:rsidP="006252D1">
      <w:pPr>
        <w:spacing w:after="0" w:line="240" w:lineRule="auto"/>
        <w:rPr>
          <w:rFonts w:ascii="Calibri" w:eastAsia="PMingLiU" w:hAnsi="Calibri"/>
        </w:rPr>
      </w:pPr>
      <w:proofErr w:type="spellStart"/>
      <w:r w:rsidRPr="002341F3">
        <w:rPr>
          <w:rFonts w:ascii="Calibri" w:eastAsia="PMingLiU" w:hAnsi="Calibri" w:hint="eastAsia"/>
        </w:rPr>
        <w:t>Moshides</w:t>
      </w:r>
      <w:proofErr w:type="spellEnd"/>
      <w:r w:rsidRPr="002341F3">
        <w:rPr>
          <w:rFonts w:ascii="Calibri" w:eastAsia="PMingLiU" w:hAnsi="Calibri" w:hint="eastAsia"/>
        </w:rPr>
        <w:t xml:space="preserve"> </w:t>
      </w:r>
      <w:r w:rsidRPr="002341F3">
        <w:rPr>
          <w:rFonts w:ascii="Calibri" w:eastAsia="PMingLiU" w:hAnsi="Calibri" w:hint="eastAsia"/>
        </w:rPr>
        <w:t>從反思在</w:t>
      </w:r>
      <w:r w:rsidRPr="002341F3">
        <w:rPr>
          <w:rFonts w:ascii="Calibri" w:eastAsia="PMingLiU" w:hAnsi="Calibri" w:hint="eastAsia"/>
        </w:rPr>
        <w:t xml:space="preserve"> 37 </w:t>
      </w:r>
      <w:r w:rsidRPr="002341F3">
        <w:rPr>
          <w:rFonts w:ascii="Calibri" w:eastAsia="PMingLiU" w:hAnsi="Calibri" w:hint="eastAsia"/>
        </w:rPr>
        <w:t>年職業生涯中做出的重要決策開始全方位演講，這些決策幫助他一直從基本的百萬圓桌入圍者成長為內閣會員並最後成為頂級會員。學會打破自我設定的舒適區（對大多數顧問而言絕非易事，但對未來的增長發展至關重要），並瞭解將業務從佣金制過渡到收費制所需的步驟。</w:t>
      </w:r>
      <w:proofErr w:type="spellStart"/>
      <w:r w:rsidRPr="002341F3">
        <w:rPr>
          <w:rFonts w:ascii="Calibri" w:eastAsia="PMingLiU" w:hAnsi="Calibri" w:hint="eastAsia"/>
        </w:rPr>
        <w:t>Moshides</w:t>
      </w:r>
      <w:proofErr w:type="spellEnd"/>
      <w:r w:rsidRPr="002341F3">
        <w:rPr>
          <w:rFonts w:ascii="Calibri" w:eastAsia="PMingLiU" w:hAnsi="Calibri" w:hint="eastAsia"/>
        </w:rPr>
        <w:t xml:space="preserve"> </w:t>
      </w:r>
      <w:r w:rsidRPr="002341F3">
        <w:rPr>
          <w:rFonts w:ascii="Calibri" w:eastAsia="PMingLiU" w:hAnsi="Calibri" w:hint="eastAsia"/>
        </w:rPr>
        <w:t>還將專注於識別讓您落後於時代的陷阱。</w:t>
      </w:r>
    </w:p>
    <w:p w:rsidR="006252D1" w:rsidRPr="002341F3" w:rsidRDefault="006252D1" w:rsidP="006252D1">
      <w:pPr>
        <w:spacing w:after="0" w:line="240" w:lineRule="auto"/>
        <w:rPr>
          <w:rFonts w:ascii="Calibri" w:eastAsia="PMingLiU" w:hAnsi="Calibri"/>
        </w:rPr>
      </w:pPr>
    </w:p>
    <w:p w:rsidR="006252D1" w:rsidRPr="002341F3" w:rsidRDefault="006252D1" w:rsidP="006252D1">
      <w:pPr>
        <w:spacing w:after="0" w:line="240" w:lineRule="auto"/>
        <w:rPr>
          <w:rFonts w:ascii="Calibri" w:eastAsia="PMingLiU" w:hAnsi="Calibri"/>
        </w:rPr>
      </w:pPr>
    </w:p>
    <w:p w:rsidR="006252D1" w:rsidRPr="002341F3" w:rsidRDefault="006252D1" w:rsidP="006252D1">
      <w:pPr>
        <w:spacing w:after="0" w:line="240" w:lineRule="auto"/>
        <w:rPr>
          <w:rFonts w:ascii="Calibri" w:eastAsia="PMingLiU" w:hAnsi="Calibri"/>
          <w:b/>
        </w:rPr>
      </w:pPr>
      <w:r w:rsidRPr="002341F3">
        <w:rPr>
          <w:rFonts w:ascii="Calibri" w:eastAsia="PMingLiU" w:hAnsi="Calibri" w:hint="eastAsia"/>
          <w:b/>
        </w:rPr>
        <w:t xml:space="preserve">Trish R. </w:t>
      </w:r>
      <w:proofErr w:type="spellStart"/>
      <w:r w:rsidRPr="002341F3">
        <w:rPr>
          <w:rFonts w:ascii="Calibri" w:eastAsia="PMingLiU" w:hAnsi="Calibri" w:hint="eastAsia"/>
          <w:b/>
        </w:rPr>
        <w:t>Tutton</w:t>
      </w:r>
      <w:proofErr w:type="spellEnd"/>
    </w:p>
    <w:p w:rsidR="006252D1" w:rsidRPr="002341F3" w:rsidRDefault="006252D1" w:rsidP="006252D1">
      <w:pPr>
        <w:spacing w:after="0" w:line="240" w:lineRule="auto"/>
        <w:rPr>
          <w:rFonts w:ascii="Calibri" w:eastAsia="PMingLiU" w:hAnsi="Calibri"/>
          <w:u w:val="single"/>
        </w:rPr>
      </w:pPr>
      <w:r w:rsidRPr="002341F3">
        <w:rPr>
          <w:rFonts w:ascii="Calibri" w:eastAsia="PMingLiU" w:hAnsi="Calibri" w:hint="eastAsia"/>
          <w:u w:val="single"/>
        </w:rPr>
        <w:t>標題</w:t>
      </w:r>
    </w:p>
    <w:p w:rsidR="006252D1" w:rsidRPr="002341F3" w:rsidRDefault="006252D1" w:rsidP="006252D1">
      <w:pPr>
        <w:spacing w:after="0" w:line="240" w:lineRule="auto"/>
        <w:rPr>
          <w:rFonts w:ascii="Calibri" w:eastAsia="PMingLiU" w:hAnsi="Calibri"/>
        </w:rPr>
      </w:pPr>
      <w:r w:rsidRPr="002341F3">
        <w:rPr>
          <w:rFonts w:ascii="Calibri" w:eastAsia="PMingLiU" w:hAnsi="Calibri" w:hint="eastAsia"/>
        </w:rPr>
        <w:t>快樂輕鬆地工作，正念冥想</w:t>
      </w:r>
    </w:p>
    <w:p w:rsidR="006252D1" w:rsidRPr="002341F3" w:rsidRDefault="006252D1" w:rsidP="006252D1">
      <w:pPr>
        <w:spacing w:after="0" w:line="240" w:lineRule="auto"/>
        <w:rPr>
          <w:rFonts w:ascii="Calibri" w:eastAsia="PMingLiU" w:hAnsi="Calibri"/>
        </w:rPr>
      </w:pPr>
    </w:p>
    <w:p w:rsidR="006252D1" w:rsidRPr="002341F3" w:rsidRDefault="006252D1" w:rsidP="006252D1">
      <w:pPr>
        <w:spacing w:after="0" w:line="240" w:lineRule="auto"/>
        <w:rPr>
          <w:rFonts w:ascii="Calibri" w:eastAsia="PMingLiU" w:hAnsi="Calibri"/>
          <w:u w:val="single"/>
        </w:rPr>
      </w:pPr>
      <w:r w:rsidRPr="002341F3">
        <w:rPr>
          <w:rFonts w:ascii="Calibri" w:eastAsia="PMingLiU" w:hAnsi="Calibri" w:hint="eastAsia"/>
          <w:u w:val="single"/>
        </w:rPr>
        <w:t>簡介</w:t>
      </w:r>
    </w:p>
    <w:p w:rsidR="006252D1" w:rsidRPr="002341F3" w:rsidRDefault="006252D1" w:rsidP="006252D1">
      <w:pPr>
        <w:spacing w:after="0" w:line="240" w:lineRule="auto"/>
        <w:rPr>
          <w:rFonts w:ascii="Calibri" w:eastAsia="PMingLiU" w:hAnsi="Calibri"/>
        </w:rPr>
      </w:pPr>
      <w:proofErr w:type="spellStart"/>
      <w:r w:rsidRPr="002341F3">
        <w:rPr>
          <w:rFonts w:ascii="Calibri" w:eastAsia="PMingLiU" w:hAnsi="Calibri" w:hint="eastAsia"/>
        </w:rPr>
        <w:t>Tutton</w:t>
      </w:r>
      <w:proofErr w:type="spellEnd"/>
      <w:r w:rsidRPr="002341F3">
        <w:rPr>
          <w:rFonts w:ascii="Calibri" w:eastAsia="PMingLiU" w:hAnsi="Calibri" w:hint="eastAsia"/>
        </w:rPr>
        <w:t xml:space="preserve"> </w:t>
      </w:r>
      <w:r w:rsidRPr="002341F3">
        <w:rPr>
          <w:rFonts w:ascii="Calibri" w:eastAsia="PMingLiU" w:hAnsi="Calibri" w:hint="eastAsia"/>
        </w:rPr>
        <w:t>教授正念背後的強大研究，並分享練習提高工作專注度的益處和實用要點。您是否知道我們大腦的模式正受到干擾？</w:t>
      </w:r>
      <w:proofErr w:type="spellStart"/>
      <w:r w:rsidRPr="002341F3">
        <w:rPr>
          <w:rFonts w:ascii="Calibri" w:eastAsia="PMingLiU" w:hAnsi="Calibri" w:hint="eastAsia"/>
        </w:rPr>
        <w:t>Tutton</w:t>
      </w:r>
      <w:proofErr w:type="spellEnd"/>
      <w:r w:rsidRPr="002341F3">
        <w:rPr>
          <w:rFonts w:ascii="Calibri" w:eastAsia="PMingLiU" w:hAnsi="Calibri" w:hint="eastAsia"/>
        </w:rPr>
        <w:t xml:space="preserve"> </w:t>
      </w:r>
      <w:r w:rsidRPr="002341F3">
        <w:rPr>
          <w:rFonts w:ascii="Calibri" w:eastAsia="PMingLiU" w:hAnsi="Calibri" w:hint="eastAsia"/>
        </w:rPr>
        <w:t>探索如何借助正念建立自我意識，以集中精力並提高工作效率。她將展示提神技巧以及如何將這些技巧融入日常工作。她將分享簡單正念練習的顛覆性益處：從工作時更加專注和高效到善待他人，到減少日常壓力和疲倦。</w:t>
      </w:r>
    </w:p>
    <w:p w:rsidR="00B9070E" w:rsidRPr="002341F3" w:rsidRDefault="00B9070E" w:rsidP="006252D1">
      <w:pPr>
        <w:spacing w:after="0" w:line="240" w:lineRule="auto"/>
        <w:rPr>
          <w:rFonts w:ascii="Calibri" w:eastAsia="PMingLiU" w:hAnsi="Calibri"/>
        </w:rPr>
      </w:pPr>
    </w:p>
    <w:p w:rsidR="006252D1" w:rsidRPr="002341F3" w:rsidRDefault="006252D1" w:rsidP="006252D1">
      <w:pPr>
        <w:spacing w:after="0" w:line="240" w:lineRule="auto"/>
        <w:rPr>
          <w:rFonts w:ascii="Calibri" w:eastAsia="PMingLiU" w:hAnsi="Calibri"/>
        </w:rPr>
      </w:pPr>
    </w:p>
    <w:p w:rsidR="00B9070E" w:rsidRPr="002341F3" w:rsidRDefault="00B9070E" w:rsidP="00B9070E">
      <w:pPr>
        <w:spacing w:after="0" w:line="240" w:lineRule="auto"/>
        <w:rPr>
          <w:rFonts w:ascii="Calibri" w:eastAsia="PMingLiU" w:hAnsi="Calibri"/>
          <w:b/>
        </w:rPr>
      </w:pPr>
      <w:r w:rsidRPr="002341F3">
        <w:rPr>
          <w:rFonts w:ascii="Calibri" w:eastAsia="PMingLiU" w:hAnsi="Calibri" w:hint="eastAsia"/>
          <w:b/>
        </w:rPr>
        <w:t xml:space="preserve">Monroe M. </w:t>
      </w:r>
      <w:proofErr w:type="spellStart"/>
      <w:r w:rsidRPr="002341F3">
        <w:rPr>
          <w:rFonts w:ascii="Calibri" w:eastAsia="PMingLiU" w:hAnsi="Calibri" w:hint="eastAsia"/>
          <w:b/>
        </w:rPr>
        <w:t>Diefendorf</w:t>
      </w:r>
      <w:proofErr w:type="spellEnd"/>
      <w:r w:rsidRPr="002341F3">
        <w:rPr>
          <w:rFonts w:ascii="Calibri" w:eastAsia="PMingLiU" w:hAnsi="Calibri" w:hint="eastAsia"/>
          <w:b/>
        </w:rPr>
        <w:t>，</w:t>
      </w:r>
      <w:r w:rsidRPr="002341F3">
        <w:rPr>
          <w:rFonts w:ascii="Calibri" w:eastAsia="PMingLiU" w:hAnsi="Calibri" w:hint="eastAsia"/>
          <w:b/>
        </w:rPr>
        <w:t>Jr., CFP, CAP</w:t>
      </w:r>
    </w:p>
    <w:p w:rsidR="00B9070E" w:rsidRPr="002341F3" w:rsidRDefault="00B9070E" w:rsidP="00B9070E">
      <w:pPr>
        <w:spacing w:after="0" w:line="240" w:lineRule="auto"/>
        <w:rPr>
          <w:rFonts w:ascii="Calibri" w:eastAsia="PMingLiU" w:hAnsi="Calibri"/>
          <w:u w:val="single"/>
        </w:rPr>
      </w:pPr>
      <w:r w:rsidRPr="002341F3">
        <w:rPr>
          <w:rFonts w:ascii="Calibri" w:eastAsia="PMingLiU" w:hAnsi="Calibri" w:hint="eastAsia"/>
          <w:u w:val="single"/>
        </w:rPr>
        <w:t>標題</w:t>
      </w:r>
    </w:p>
    <w:p w:rsidR="00B9070E" w:rsidRPr="002341F3" w:rsidRDefault="00B9070E" w:rsidP="00B9070E">
      <w:pPr>
        <w:spacing w:after="0" w:line="240" w:lineRule="auto"/>
        <w:rPr>
          <w:rFonts w:ascii="Calibri" w:eastAsia="PMingLiU" w:hAnsi="Calibri"/>
        </w:rPr>
      </w:pPr>
      <w:r w:rsidRPr="002341F3">
        <w:rPr>
          <w:rFonts w:ascii="Calibri" w:eastAsia="PMingLiU" w:hAnsi="Calibri" w:hint="eastAsia"/>
        </w:rPr>
        <w:t>讓家人成為您的客戶</w:t>
      </w:r>
    </w:p>
    <w:p w:rsidR="00B9070E" w:rsidRPr="002341F3" w:rsidRDefault="00B9070E" w:rsidP="00B9070E">
      <w:pPr>
        <w:spacing w:after="0" w:line="240" w:lineRule="auto"/>
        <w:rPr>
          <w:rFonts w:ascii="Calibri" w:eastAsia="PMingLiU" w:hAnsi="Calibri"/>
        </w:rPr>
      </w:pPr>
    </w:p>
    <w:p w:rsidR="00B9070E" w:rsidRPr="002341F3" w:rsidRDefault="00B9070E" w:rsidP="00B9070E">
      <w:pPr>
        <w:spacing w:after="0" w:line="240" w:lineRule="auto"/>
        <w:rPr>
          <w:rFonts w:ascii="Calibri" w:eastAsia="PMingLiU" w:hAnsi="Calibri"/>
          <w:u w:val="single"/>
        </w:rPr>
      </w:pPr>
      <w:r w:rsidRPr="002341F3">
        <w:rPr>
          <w:rFonts w:ascii="Calibri" w:eastAsia="PMingLiU" w:hAnsi="Calibri" w:hint="eastAsia"/>
          <w:u w:val="single"/>
        </w:rPr>
        <w:t>簡介</w:t>
      </w:r>
    </w:p>
    <w:p w:rsidR="00B9070E" w:rsidRPr="002341F3" w:rsidRDefault="00B9070E" w:rsidP="00B9070E">
      <w:pPr>
        <w:spacing w:after="0" w:line="240" w:lineRule="auto"/>
        <w:rPr>
          <w:rFonts w:ascii="Calibri" w:eastAsia="PMingLiU" w:hAnsi="Calibri"/>
        </w:rPr>
      </w:pPr>
      <w:proofErr w:type="spellStart"/>
      <w:r w:rsidRPr="002341F3">
        <w:rPr>
          <w:rFonts w:ascii="Calibri" w:eastAsia="PMingLiU" w:hAnsi="Calibri" w:hint="eastAsia"/>
        </w:rPr>
        <w:t>Diefendorf</w:t>
      </w:r>
      <w:proofErr w:type="spellEnd"/>
      <w:r w:rsidRPr="002341F3">
        <w:rPr>
          <w:rFonts w:ascii="Calibri" w:eastAsia="PMingLiU" w:hAnsi="Calibri" w:hint="eastAsia"/>
        </w:rPr>
        <w:t xml:space="preserve"> </w:t>
      </w:r>
      <w:r w:rsidRPr="002341F3">
        <w:rPr>
          <w:rFonts w:ascii="Calibri" w:eastAsia="PMingLiU" w:hAnsi="Calibri" w:hint="eastAsia"/>
        </w:rPr>
        <w:t>將全面講述從銷售個人人壽保險到位整個家庭提供咨詢服務的咨詢實務轉型，旨在確保您建議的連續性。</w:t>
      </w:r>
      <w:proofErr w:type="spellStart"/>
      <w:r w:rsidRPr="002341F3">
        <w:rPr>
          <w:rFonts w:ascii="Calibri" w:eastAsia="PMingLiU" w:hAnsi="Calibri" w:hint="eastAsia"/>
        </w:rPr>
        <w:t>Diefendorf</w:t>
      </w:r>
      <w:proofErr w:type="spellEnd"/>
      <w:r w:rsidRPr="002341F3">
        <w:rPr>
          <w:rFonts w:ascii="Calibri" w:eastAsia="PMingLiU" w:hAnsi="Calibri" w:hint="eastAsia"/>
        </w:rPr>
        <w:t xml:space="preserve"> </w:t>
      </w:r>
      <w:r w:rsidRPr="002341F3">
        <w:rPr>
          <w:rFonts w:ascii="Calibri" w:eastAsia="PMingLiU" w:hAnsi="Calibri" w:hint="eastAsia"/>
        </w:rPr>
        <w:t>概述將重點從「個人」轉移到「家庭」，並結合技術將家庭成員納入規劃流程。建立一個多代流程並使用四種要素（價值觀、遺產、感恩和治理）讓繼承人做好準備是基本要求。</w:t>
      </w:r>
      <w:proofErr w:type="spellStart"/>
      <w:r w:rsidRPr="002341F3">
        <w:rPr>
          <w:rFonts w:ascii="Calibri" w:eastAsia="PMingLiU" w:hAnsi="Calibri" w:hint="eastAsia"/>
        </w:rPr>
        <w:t>Diefendorf</w:t>
      </w:r>
      <w:proofErr w:type="spellEnd"/>
      <w:r w:rsidRPr="002341F3">
        <w:rPr>
          <w:rFonts w:ascii="Calibri" w:eastAsia="PMingLiU" w:hAnsi="Calibri" w:hint="eastAsia"/>
        </w:rPr>
        <w:t xml:space="preserve"> </w:t>
      </w:r>
      <w:r w:rsidRPr="002341F3">
        <w:rPr>
          <w:rFonts w:ascii="Calibri" w:eastAsia="PMingLiU" w:hAnsi="Calibri" w:hint="eastAsia"/>
        </w:rPr>
        <w:t>還將概述顧問的繼承計劃，這在與家人合作時非常重要。</w:t>
      </w:r>
    </w:p>
    <w:bookmarkEnd w:id="0"/>
    <w:p w:rsidR="00B9070E" w:rsidRPr="002341F3" w:rsidRDefault="00B9070E" w:rsidP="00B9070E">
      <w:pPr>
        <w:spacing w:after="0" w:line="240" w:lineRule="auto"/>
        <w:rPr>
          <w:rFonts w:ascii="Calibri" w:eastAsia="PMingLiU" w:hAnsi="Calibri"/>
        </w:rPr>
      </w:pPr>
    </w:p>
    <w:sectPr w:rsidR="00B9070E" w:rsidRPr="002341F3" w:rsidSect="00894C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2D1"/>
    <w:rsid w:val="002341F3"/>
    <w:rsid w:val="006252D1"/>
    <w:rsid w:val="00894CD5"/>
    <w:rsid w:val="00936A93"/>
    <w:rsid w:val="009A422C"/>
    <w:rsid w:val="00B74E39"/>
    <w:rsid w:val="00B90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5A84F-30BF-4B55-B3AF-8DEDCA0D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H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MDRT</Company>
  <LinksUpToDate>false</LinksUpToDate>
  <CharactersWithSpaces>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Schneider</dc:creator>
  <cp:keywords/>
  <dc:description/>
  <cp:lastModifiedBy>rita</cp:lastModifiedBy>
  <cp:revision>2</cp:revision>
  <dcterms:created xsi:type="dcterms:W3CDTF">2020-04-29T19:56:00Z</dcterms:created>
  <dcterms:modified xsi:type="dcterms:W3CDTF">2020-07-06T14:14:00Z</dcterms:modified>
</cp:coreProperties>
</file>