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00E5" w14:textId="1196FB29" w:rsidR="00037D88" w:rsidRDefault="00037D88" w:rsidP="00D139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F7F490" w14:textId="77777777" w:rsidR="00037D88" w:rsidRDefault="00037D88" w:rsidP="0003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b/>
          <w:sz w:val="23"/>
        </w:rPr>
        <w:t>Clasificaciones por compañía de MDRT – Preguntas frecuentes</w:t>
      </w:r>
      <w:r>
        <w:rPr>
          <w:rStyle w:val="eop"/>
          <w:rFonts w:ascii="Arial" w:hAnsi="Arial"/>
          <w:sz w:val="23"/>
        </w:rPr>
        <w:t> </w:t>
      </w:r>
    </w:p>
    <w:p w14:paraId="43749605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3"/>
        </w:rPr>
        <w:t> </w:t>
      </w:r>
    </w:p>
    <w:p w14:paraId="6AAC1A80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/>
          <w:sz w:val="23"/>
        </w:rPr>
        <w:t>P: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¿Cuándo se publicarán las clasificaciones por compañía?</w:t>
      </w:r>
      <w:r>
        <w:rPr>
          <w:rStyle w:val="eop"/>
          <w:rFonts w:ascii="Arial" w:hAnsi="Arial"/>
          <w:sz w:val="23"/>
        </w:rPr>
        <w:t> </w:t>
      </w:r>
    </w:p>
    <w:p w14:paraId="011B7045" w14:textId="77777777" w:rsidR="00045757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678194C9" w14:textId="77777777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3"/>
        </w:rPr>
        <w:t xml:space="preserve">R: 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MDRT da a conocer las clasificaciones por compañía a principios de julio. La fecha exacta en la que se publicarán las clasificaciones se les comunica a las compañías con al menos tres semanas de anticipación. Las clasificaciones se basan en los datos de las membrecías auditados por MDRT al 1 de julio.</w:t>
      </w:r>
      <w:r>
        <w:rPr>
          <w:rStyle w:val="eop"/>
          <w:rFonts w:ascii="Arial" w:hAnsi="Arial"/>
          <w:sz w:val="23"/>
        </w:rPr>
        <w:t> </w:t>
      </w:r>
    </w:p>
    <w:p w14:paraId="7135DF9F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3"/>
        </w:rPr>
        <w:t> </w:t>
      </w:r>
    </w:p>
    <w:p w14:paraId="3AD0D996" w14:textId="77777777" w:rsidR="00037D88" w:rsidRDefault="00037D88" w:rsidP="00955677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/>
          <w:sz w:val="23"/>
        </w:rPr>
        <w:t>P: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¿Las clasificaciones cambiarán si después del 1 de julio se aprueban más miembros?</w:t>
      </w:r>
      <w:r>
        <w:rPr>
          <w:rStyle w:val="eop"/>
          <w:rFonts w:ascii="Arial" w:hAnsi="Arial"/>
          <w:sz w:val="23"/>
        </w:rPr>
        <w:t> </w:t>
      </w:r>
    </w:p>
    <w:p w14:paraId="72D764EE" w14:textId="77777777" w:rsidR="00045757" w:rsidRDefault="00045757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79382F06" w14:textId="3BECD49D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3"/>
        </w:rPr>
        <w:t xml:space="preserve">R: 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No. La información oficial sobre las clasificaciones al 1° de julio permanecerá sin cambios y no se actualizará. Las clasificaciones de las compañías son inamovibles y no cambiarán una vez que se den a conocer.</w:t>
      </w:r>
      <w:r>
        <w:rPr>
          <w:rStyle w:val="eop"/>
          <w:rFonts w:ascii="Arial" w:hAnsi="Arial"/>
          <w:sz w:val="23"/>
        </w:rPr>
        <w:t> </w:t>
      </w:r>
    </w:p>
    <w:p w14:paraId="7B70E9B8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3"/>
        </w:rPr>
        <w:t> </w:t>
      </w:r>
    </w:p>
    <w:p w14:paraId="35C33174" w14:textId="77777777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/>
          <w:sz w:val="23"/>
        </w:rPr>
        <w:t>P: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¿Qué compañías son elegibles para participar en las clasificaciones del Top 25 en crecimiento, retención y permanencia?</w:t>
      </w:r>
      <w:r>
        <w:rPr>
          <w:rStyle w:val="eop"/>
          <w:rFonts w:ascii="Arial" w:hAnsi="Arial"/>
          <w:sz w:val="23"/>
        </w:rPr>
        <w:t> </w:t>
      </w:r>
    </w:p>
    <w:p w14:paraId="0FD292D6" w14:textId="77777777" w:rsidR="00045757" w:rsidRDefault="00045757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1C4D017D" w14:textId="2C92CC95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3"/>
        </w:rPr>
        <w:t xml:space="preserve">R: 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Las compañías elegibles deben tener al menos 500 miembros en el año previo y actual para ser consideradas en las clasificaciones de crecimiento, retención y permanencia. Para 2024, esto significa que las compañías con 500 o más miembros en 2023 y 2024 serán elegibles para participar en las clasificaciones de 2024.</w:t>
      </w:r>
      <w:r>
        <w:rPr>
          <w:rStyle w:val="eop"/>
          <w:rFonts w:ascii="Arial" w:hAnsi="Arial"/>
          <w:sz w:val="23"/>
        </w:rPr>
        <w:t> </w:t>
      </w:r>
    </w:p>
    <w:p w14:paraId="513EE3CA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3"/>
        </w:rPr>
        <w:t> </w:t>
      </w:r>
    </w:p>
    <w:p w14:paraId="74B58BE1" w14:textId="686B721C" w:rsidR="00037D88" w:rsidRDefault="00037D88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/>
          <w:sz w:val="23"/>
        </w:rPr>
        <w:t>P: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¿Es posible que las clasificaciones del Top 25 en crecimiento muestr</w:t>
      </w:r>
      <w:r w:rsidR="00BE0B66">
        <w:rPr>
          <w:rStyle w:val="normaltextrun"/>
          <w:rFonts w:ascii="Arial" w:hAnsi="Arial"/>
          <w:sz w:val="23"/>
        </w:rPr>
        <w:t>e</w:t>
      </w:r>
      <w:r>
        <w:rPr>
          <w:rStyle w:val="normaltextrun"/>
          <w:rFonts w:ascii="Arial" w:hAnsi="Arial"/>
          <w:sz w:val="23"/>
        </w:rPr>
        <w:t>n menos de 25 compañías?</w:t>
      </w:r>
      <w:r>
        <w:rPr>
          <w:rStyle w:val="eop"/>
          <w:rFonts w:ascii="Arial" w:hAnsi="Arial"/>
          <w:sz w:val="23"/>
        </w:rPr>
        <w:t> </w:t>
      </w:r>
    </w:p>
    <w:p w14:paraId="0E56D6C0" w14:textId="77777777" w:rsidR="00045757" w:rsidRDefault="00045757" w:rsidP="00045757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</w:p>
    <w:p w14:paraId="73C42C39" w14:textId="7088C69F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3"/>
        </w:rPr>
        <w:t>R:</w:t>
      </w:r>
      <w:r>
        <w:rPr>
          <w:rStyle w:val="tabchar"/>
          <w:rFonts w:ascii="Calibri" w:hAnsi="Calibri"/>
          <w:sz w:val="23"/>
        </w:rPr>
        <w:tab/>
      </w:r>
      <w:r w:rsidRPr="00B1067F">
        <w:rPr>
          <w:rStyle w:val="normaltextrun"/>
          <w:rFonts w:ascii="Arial" w:hAnsi="Arial"/>
        </w:rPr>
        <w:t xml:space="preserve">Sí, </w:t>
      </w:r>
      <w:r>
        <w:rPr>
          <w:rStyle w:val="normaltextrun"/>
          <w:rFonts w:ascii="Arial" w:hAnsi="Arial"/>
          <w:sz w:val="23"/>
        </w:rPr>
        <w:t>las clasificaciones del Top 25 en crecimiento solo enlistarán a las compañías que demostraron un crecimiento general positivo en el número y porcentaje total de miembros, tal como se muestra a continuación: </w:t>
      </w:r>
      <w:r>
        <w:rPr>
          <w:rStyle w:val="eop"/>
          <w:rFonts w:ascii="Arial" w:hAnsi="Arial"/>
          <w:sz w:val="23"/>
        </w:rPr>
        <w:t> </w:t>
      </w:r>
    </w:p>
    <w:p w14:paraId="409ADCB7" w14:textId="77777777" w:rsidR="00045757" w:rsidRDefault="00045757" w:rsidP="00045757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Arial" w:hAnsi="Arial" w:cs="Arial"/>
          <w:sz w:val="23"/>
          <w:szCs w:val="23"/>
        </w:rPr>
      </w:pPr>
    </w:p>
    <w:p w14:paraId="47E17FB7" w14:textId="4A38A8DD" w:rsidR="00037D88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/>
          <w:b/>
          <w:i/>
          <w:iCs/>
          <w:sz w:val="23"/>
        </w:rPr>
        <w:t>Crecimiento total de miembros</w:t>
      </w:r>
      <w:r>
        <w:rPr>
          <w:rStyle w:val="normaltextrun"/>
          <w:rFonts w:ascii="Arial" w:hAnsi="Arial"/>
          <w:b/>
          <w:sz w:val="23"/>
        </w:rPr>
        <w:t>:</w:t>
      </w:r>
      <w:r>
        <w:rPr>
          <w:rStyle w:val="normaltextrun"/>
          <w:rFonts w:ascii="Arial" w:hAnsi="Arial"/>
          <w:sz w:val="23"/>
        </w:rPr>
        <w:t xml:space="preserve"> Las compañías deben tener un crecimiento de al menos 25 miembros. </w:t>
      </w:r>
      <w:r>
        <w:rPr>
          <w:rStyle w:val="eop"/>
          <w:rFonts w:ascii="Arial" w:hAnsi="Arial"/>
          <w:sz w:val="23"/>
        </w:rPr>
        <w:t> </w:t>
      </w:r>
    </w:p>
    <w:p w14:paraId="30ED76CF" w14:textId="2D9B2A20" w:rsidR="00037D88" w:rsidRDefault="00037D88" w:rsidP="00045757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/>
          <w:b/>
          <w:i/>
          <w:sz w:val="23"/>
        </w:rPr>
        <w:t>Porcentaje del crecimiento de miembros:</w:t>
      </w:r>
      <w:r>
        <w:rPr>
          <w:rStyle w:val="normaltextrun"/>
          <w:rFonts w:ascii="Arial" w:hAnsi="Arial"/>
          <w:sz w:val="23"/>
        </w:rPr>
        <w:t xml:space="preserve"> Las compañías deben tener un crecimiento de al menos 5%. </w:t>
      </w:r>
      <w:r>
        <w:rPr>
          <w:rStyle w:val="eop"/>
          <w:rFonts w:ascii="Arial" w:hAnsi="Arial"/>
          <w:sz w:val="23"/>
        </w:rPr>
        <w:t> </w:t>
      </w:r>
    </w:p>
    <w:p w14:paraId="20F3A92F" w14:textId="77777777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3"/>
        </w:rPr>
        <w:t> </w:t>
      </w:r>
    </w:p>
    <w:p w14:paraId="3EAE3C94" w14:textId="77777777" w:rsidR="00037D88" w:rsidRDefault="00037D88" w:rsidP="00955677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3"/>
        </w:rPr>
        <w:t xml:space="preserve">P: 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Además de en las clasificaciones, ¿en dónde más puedo obtener datos de las compañías?</w:t>
      </w:r>
      <w:r>
        <w:rPr>
          <w:rStyle w:val="eop"/>
          <w:rFonts w:ascii="Arial" w:hAnsi="Arial"/>
          <w:sz w:val="23"/>
        </w:rPr>
        <w:t> </w:t>
      </w:r>
    </w:p>
    <w:p w14:paraId="3D56BEB3" w14:textId="77777777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3"/>
        </w:rPr>
        <w:t xml:space="preserve">R: 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 xml:space="preserve">MDRT no puede compartir datos de las compañías más allá de los publicados en las clasificaciones oficiales. Las preguntas sobre las clasificaciones de las compañías deben dirigirse a </w:t>
      </w:r>
      <w:r>
        <w:rPr>
          <w:rStyle w:val="normaltextrun"/>
          <w:rFonts w:ascii="Arial" w:hAnsi="Arial"/>
          <w:b/>
          <w:sz w:val="23"/>
        </w:rPr>
        <w:t>companies@mdrt.org</w:t>
      </w:r>
      <w:r>
        <w:rPr>
          <w:rStyle w:val="normaltextrun"/>
          <w:rFonts w:ascii="Arial" w:hAnsi="Arial"/>
          <w:sz w:val="23"/>
        </w:rPr>
        <w:t>.</w:t>
      </w:r>
      <w:r>
        <w:rPr>
          <w:rStyle w:val="eop"/>
          <w:rFonts w:ascii="Arial" w:hAnsi="Arial"/>
          <w:sz w:val="23"/>
        </w:rPr>
        <w:t> </w:t>
      </w:r>
    </w:p>
    <w:p w14:paraId="43DEB710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3"/>
        </w:rPr>
        <w:t> </w:t>
      </w:r>
    </w:p>
    <w:p w14:paraId="5221B914" w14:textId="77777777" w:rsidR="00037D88" w:rsidRDefault="00037D88" w:rsidP="00037D8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sz w:val="23"/>
          <w:szCs w:val="23"/>
        </w:rPr>
      </w:pPr>
      <w:r>
        <w:rPr>
          <w:rStyle w:val="normaltextrun"/>
          <w:rFonts w:ascii="Arial" w:hAnsi="Arial"/>
          <w:sz w:val="23"/>
        </w:rPr>
        <w:t xml:space="preserve">P: 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>¿MDRT publica alguna otra clasificación de las membrecías?</w:t>
      </w:r>
      <w:r>
        <w:rPr>
          <w:rStyle w:val="eop"/>
          <w:rFonts w:ascii="Arial" w:hAnsi="Arial"/>
          <w:sz w:val="23"/>
        </w:rPr>
        <w:t> </w:t>
      </w:r>
    </w:p>
    <w:p w14:paraId="3BF2F402" w14:textId="77777777" w:rsidR="002839C0" w:rsidRDefault="002839C0" w:rsidP="00037D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72C60D0E" w14:textId="7AB2FDB9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3"/>
        </w:rPr>
        <w:t>R:</w:t>
      </w:r>
      <w:r>
        <w:rPr>
          <w:rStyle w:val="tabchar"/>
          <w:rFonts w:ascii="Calibri" w:hAnsi="Calibri"/>
          <w:sz w:val="23"/>
        </w:rPr>
        <w:tab/>
      </w:r>
      <w:r>
        <w:rPr>
          <w:rStyle w:val="normaltextrun"/>
          <w:rFonts w:ascii="Arial" w:hAnsi="Arial"/>
          <w:sz w:val="23"/>
        </w:rPr>
        <w:t xml:space="preserve">MDRT no lo hace; sin embargo, MDRT Center </w:t>
      </w:r>
      <w:proofErr w:type="spellStart"/>
      <w:r>
        <w:rPr>
          <w:rStyle w:val="normaltextrun"/>
          <w:rFonts w:ascii="Arial" w:hAnsi="Arial"/>
          <w:sz w:val="23"/>
        </w:rPr>
        <w:t>for</w:t>
      </w:r>
      <w:proofErr w:type="spellEnd"/>
      <w:r>
        <w:rPr>
          <w:rStyle w:val="normaltextrun"/>
          <w:rFonts w:ascii="Arial" w:hAnsi="Arial"/>
          <w:sz w:val="23"/>
        </w:rPr>
        <w:t xml:space="preserve"> Field </w:t>
      </w:r>
      <w:proofErr w:type="spellStart"/>
      <w:r>
        <w:rPr>
          <w:rStyle w:val="normaltextrun"/>
          <w:rFonts w:ascii="Arial" w:hAnsi="Arial"/>
          <w:sz w:val="23"/>
        </w:rPr>
        <w:t>Leadership</w:t>
      </w:r>
      <w:proofErr w:type="spellEnd"/>
      <w:r>
        <w:rPr>
          <w:rStyle w:val="normaltextrun"/>
          <w:rFonts w:ascii="Arial" w:hAnsi="Arial"/>
          <w:sz w:val="23"/>
        </w:rPr>
        <w:t xml:space="preserve"> publica a los ganadores del Premio a la cultura de la excelencia de MDRT para reconocer la excelencia en seis áreas específicas de la gestión de las agencias: Producción, retención, reclutamiento, renovaciones, persona íntegra y membrecías de MDRT/MDRT </w:t>
      </w:r>
      <w:proofErr w:type="spellStart"/>
      <w:r>
        <w:rPr>
          <w:rStyle w:val="normaltextrun"/>
          <w:rFonts w:ascii="Arial" w:hAnsi="Arial"/>
          <w:sz w:val="23"/>
        </w:rPr>
        <w:t>Academy</w:t>
      </w:r>
      <w:proofErr w:type="spellEnd"/>
      <w:r>
        <w:rPr>
          <w:rStyle w:val="normaltextrun"/>
          <w:rFonts w:ascii="Arial" w:hAnsi="Arial"/>
          <w:sz w:val="23"/>
        </w:rPr>
        <w:t xml:space="preserve">. Las preguntas relacionadas con los Premios a la cultura de la excelencia de MDRT pueden dirigirse a </w:t>
      </w:r>
      <w:r>
        <w:rPr>
          <w:rStyle w:val="normaltextrun"/>
          <w:rFonts w:ascii="Arial" w:hAnsi="Arial"/>
          <w:b/>
          <w:sz w:val="23"/>
        </w:rPr>
        <w:t>info@mdrtcenter.org</w:t>
      </w:r>
      <w:r>
        <w:rPr>
          <w:rStyle w:val="normaltextrun"/>
          <w:rFonts w:ascii="Arial" w:hAnsi="Arial"/>
          <w:sz w:val="23"/>
        </w:rPr>
        <w:t>.</w:t>
      </w:r>
      <w:r>
        <w:rPr>
          <w:rStyle w:val="eop"/>
          <w:rFonts w:ascii="Arial" w:hAnsi="Arial"/>
          <w:color w:val="D13438"/>
          <w:sz w:val="23"/>
        </w:rPr>
        <w:t> </w:t>
      </w:r>
    </w:p>
    <w:p w14:paraId="32EFB54B" w14:textId="77777777" w:rsidR="00037D88" w:rsidRDefault="00037D88" w:rsidP="00037D88">
      <w:pPr>
        <w:pStyle w:val="paragraph"/>
        <w:spacing w:before="0" w:beforeAutospacing="0" w:after="0" w:afterAutospacing="0"/>
        <w:ind w:left="144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0"/>
        </w:rPr>
        <w:t> </w:t>
      </w:r>
    </w:p>
    <w:p w14:paraId="0F86845F" w14:textId="77777777" w:rsidR="00A61250" w:rsidRDefault="00A61250"/>
    <w:sectPr w:rsidR="00A61250" w:rsidSect="00D139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F4E9B"/>
    <w:multiLevelType w:val="multilevel"/>
    <w:tmpl w:val="A27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512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88"/>
    <w:rsid w:val="0001384D"/>
    <w:rsid w:val="00037D88"/>
    <w:rsid w:val="00045757"/>
    <w:rsid w:val="002839C0"/>
    <w:rsid w:val="00291E51"/>
    <w:rsid w:val="00365DF7"/>
    <w:rsid w:val="003D5690"/>
    <w:rsid w:val="0053373D"/>
    <w:rsid w:val="00594FB6"/>
    <w:rsid w:val="0066717A"/>
    <w:rsid w:val="008E33B1"/>
    <w:rsid w:val="00955677"/>
    <w:rsid w:val="00A61250"/>
    <w:rsid w:val="00B1067F"/>
    <w:rsid w:val="00BE0B66"/>
    <w:rsid w:val="00C008FB"/>
    <w:rsid w:val="00CD326A"/>
    <w:rsid w:val="00D13935"/>
    <w:rsid w:val="00D57DE4"/>
    <w:rsid w:val="00D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DBDF3"/>
  <w15:chartTrackingRefBased/>
  <w15:docId w15:val="{7B24C2AF-BD7F-47E1-88A2-E1C7B81A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op">
    <w:name w:val="eop"/>
    <w:basedOn w:val="DefaultParagraphFont"/>
    <w:rsid w:val="00037D88"/>
  </w:style>
  <w:style w:type="character" w:customStyle="1" w:styleId="normaltextrun">
    <w:name w:val="normaltextrun"/>
    <w:basedOn w:val="DefaultParagraphFont"/>
    <w:rsid w:val="00037D88"/>
  </w:style>
  <w:style w:type="character" w:customStyle="1" w:styleId="tabchar">
    <w:name w:val="tabchar"/>
    <w:basedOn w:val="DefaultParagraphFont"/>
    <w:rsid w:val="00037D88"/>
  </w:style>
  <w:style w:type="character" w:customStyle="1" w:styleId="wacimagecontainer">
    <w:name w:val="wacimagecontainer"/>
    <w:basedOn w:val="DefaultParagraphFont"/>
    <w:rsid w:val="0003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9" ma:contentTypeDescription="Create a new document." ma:contentTypeScope="" ma:versionID="5523e7be7f9c6d587753e00cb5e6817a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7978279117ec697ba961225530795423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175B3-BACB-4263-9747-4A5FC656C26B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2.xml><?xml version="1.0" encoding="utf-8"?>
<ds:datastoreItem xmlns:ds="http://schemas.openxmlformats.org/officeDocument/2006/customXml" ds:itemID="{9B089030-8FC1-4097-BA05-94701A0E3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73DA2-504E-4AC0-8DE3-B7D4FCC4C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ade7f-585f-4724-b699-d74aa2bb1906"/>
    <ds:schemaRef ds:uri="1c8adbb5-4e9a-43bc-b2b9-668f976e3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Price</dc:creator>
  <cp:keywords/>
  <dc:description/>
  <cp:lastModifiedBy>Tamika Price</cp:lastModifiedBy>
  <cp:revision>2</cp:revision>
  <dcterms:created xsi:type="dcterms:W3CDTF">2024-07-02T19:36:00Z</dcterms:created>
  <dcterms:modified xsi:type="dcterms:W3CDTF">2024-07-02T19:36:00Z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6f69573025c86de742c41a55e09f4e4262a34a06881fc76884119c5c9dc645e3</vt:lpwstr>
  </property>
  <property fmtid="{D5CDD505-2E9C-101B-9397-08002B2CF9AE}" pid="3" name="ContentTypeId">
    <vt:lpwstr>0x0101009977E5C3187B8B45B000D936D03D1035</vt:lpwstr>
  </property>
</Properties>
</file>